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highlight w:val="white"/>
          <w:rtl w:val="0"/>
        </w:rPr>
        <w:t xml:space="preserve">Obec Jasov v súlade so zákonom 583/2004 Z. z. v znení dodatkov a § 34 zákona NR SR č. 523/2004 Z. z. o rozpočtových pravidlách verejnej správy a o zmene a doplnení niektorých zákonov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color w:val="222222"/>
          <w:sz w:val="18"/>
          <w:highlight w:val="white"/>
          <w:rtl w:val="0"/>
        </w:rPr>
        <w:t xml:space="preserve">vydáva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222222"/>
          <w:sz w:val="18"/>
          <w:rtl w:val="0"/>
        </w:rPr>
        <w:t xml:space="preserve">Zásady o rozsahu a spôsobe použitia výdavkov na reprezentačné a propagačné účely Obce JASOV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222222"/>
          <w:sz w:val="18"/>
          <w:rtl w:val="0"/>
        </w:rPr>
        <w:t xml:space="preserve">Článok 1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222222"/>
          <w:sz w:val="18"/>
          <w:rtl w:val="0"/>
        </w:rPr>
        <w:t xml:space="preserve">ÚVODNÉ USTANOVENIA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Obec Jasov môže uhrádzať výdavky na reprezentačné a propagačné účely v rozsahu schválenom v rozpočte Obce Jasov na príslušný rozpočtový rok pri zachovaní maximálnej hospodárnosti, účinnosti a vecnej preukaznosti. Hospodárenie s týmito prostriedkami si vyžaduje zachovanie maximálnej hospodárnosti a vecnej podloženosti.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222222"/>
          <w:sz w:val="18"/>
          <w:highlight w:val="white"/>
          <w:rtl w:val="0"/>
        </w:rPr>
        <w:t xml:space="preserve">Článok 2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222222"/>
          <w:sz w:val="18"/>
          <w:highlight w:val="white"/>
          <w:rtl w:val="0"/>
        </w:rPr>
        <w:t xml:space="preserve">VÝDAVKY NA REPREZENTAČNÉ A PROPAGAČNÉ ÚČELY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highlight w:val="white"/>
          <w:rtl w:val="0"/>
        </w:rPr>
        <w:t xml:space="preserve">Tieto výdavky môžu byť použité v nevyhnutnom rozsahu, ak si to vyžadujú reprezentačné, hospodárske a iné spoločenské dôvody a to na: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highlight w:val="white"/>
          <w:rtl w:val="0"/>
        </w:rPr>
        <w:t xml:space="preserve">a) pohostenie pri oficiálnych návštevách a na ďalšie výdavky spojené s pobytom oficiálnych hostí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highlight w:val="white"/>
          <w:rtl w:val="0"/>
        </w:rPr>
        <w:t xml:space="preserve">b) občerstvenie   účastníkov   pracovných  porád,   konferencií   a iných   pracovných príležitostí (rokovaní), spoločenských akcií občanov obce Jasov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highlight w:val="white"/>
          <w:rtl w:val="0"/>
        </w:rPr>
        <w:t xml:space="preserve">c) vecné dary poskytnuté v súvislosti s reprezentáciou Obce Jasov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highlight w:val="white"/>
          <w:rtl w:val="0"/>
        </w:rPr>
        <w:t xml:space="preserve">d) vecné dary a občerstvenie pre deti občanov obce z príležitosti sviatkov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highlight w:val="white"/>
          <w:rtl w:val="0"/>
        </w:rPr>
        <w:t xml:space="preserve">Na účely týchto zásad sa: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highlight w:val="white"/>
          <w:rtl w:val="0"/>
        </w:rPr>
        <w:t xml:space="preserve">1) za oficiálnu návštevu považuje tuzemská alebo zahraničná delegácia (aj jedna osoba), ktorá prerokúva so zástupcami obce dôležité spoločenské a hospodárske otázky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highlight w:val="white"/>
          <w:rtl w:val="0"/>
        </w:rPr>
        <w:t xml:space="preserve">2) za občerstvenie sa považuje káva, čaj, nealkoholické nápoje, a prípadne aperitív, pivo a iné; jedlo podľa povahy a dĺžky trvania akcie. Pri pracovnom rokovaní, ktoré trvá do 6 hodín, sa poskytne občerstvenie a pohostenie maximálne do výšky 400,- Sk na jedného účastníka, pri trvaní rokovania nad 6 hodín sa poskytne občerstvenie a pohostenie maximálne do výšky 700,- Sk na jedného účastníka. Alkoholické nápoje možno podávať len v spoločensky nutnej miere,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highlight w:val="white"/>
          <w:rtl w:val="0"/>
        </w:rPr>
        <w:t xml:space="preserve">3) za ďalšie výdavky spojené spobýtoiŕi oficiálnych hostí sú výdavky na ich uvítanie, ubytovanie, stravovanie, dopravu, tlmočenie, vstupné na kultúrny program. Starosta Obce Jasov môže poskytnúť zahraničnej delegácii a výnimočne v odôvodnených prípadoch aj tuzemskej delegácii v spoločensky potrebnej miere primeraný vecný dar. Za primeraný vecný dar sa pri zahraničnej delegácii považuje dar v hodnote do 2 000,- Sk na jednu osobu, pri tuzemskej delegácii dar v hodnote do 1 000,- Sk na jednu osobu.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highlight w:val="white"/>
          <w:rtl w:val="0"/>
        </w:rPr>
        <w:t xml:space="preserve">4) vecné dary môže mesto poskytnúť: pri významných športových, kultúrnych a spoločenských podujatiach organizovaných na území Obce Jasov v hodnote do výšky 10 000,- Sk na jedno podujatie; osobám reprezentujúcim Obec Jasov v oblasti hospodárskeho, kultúrneho a spoločenského života a športu do Výšky 5 000,- Sk na jednu osobu; v prípade reprezentácie Obce Jasov na medzinárodnej úrovni do výšky 10 000,- Sk na jednu osobu.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highlight w:val="white"/>
          <w:rtl w:val="0"/>
        </w:rPr>
        <w:t xml:space="preserve">5) pri príležitosti dosiahnutia významného životného jubilea občana Obce Jasov Obec Jasov poskytne vecný dar alebo odmenu v hodnote do výšky 3 000,-(pozn. - prevod finančných prostriedkov podľa rozpočtovej klasifikácie 642 014).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222222"/>
          <w:sz w:val="18"/>
          <w:rtl w:val="0"/>
        </w:rPr>
        <w:t xml:space="preserve">Článok 3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222222"/>
          <w:sz w:val="18"/>
          <w:rtl w:val="0"/>
        </w:rPr>
        <w:t xml:space="preserve">ZÁSADY POUŽÍVANIA VÝDAVKOV NA REPREZENTAČNÉ A PROPAGAČNÉ ÚČELY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1) Limit výdavkov na reprezentačné účely a výdavky na propagačné účely sú dané schváleným rozpisom rozpočtu na príslušný rok. Za hospodárenie s limitom na reprezentačné účely zodpovedá starosta Obce Jasov.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2) Výdavky na reprezentačné a propagačné účely musia byť riadne preukázané a doložené príslušnými dokladmi. Doklady preukazujúce výdavky na tento účel musia obsahovať okrem všeobecne platných náležitostí účtovných dokladov aj tieto údaje: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a) pri výdavkoch na občerstvenie a pohostenie pri akej príležitosti sa poskytli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color w:val="222222"/>
          <w:sz w:val="18"/>
          <w:highlight w:val="white"/>
          <w:u w:val="none"/>
        </w:rPr>
      </w:pPr>
      <w:r w:rsidRPr="00000000" w:rsidR="00000000" w:rsidDel="00000000">
        <w:rPr>
          <w:color w:val="222222"/>
          <w:sz w:val="18"/>
          <w:highlight w:val="white"/>
          <w:rtl w:val="0"/>
        </w:rPr>
        <w:t xml:space="preserve">počet účastníkov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color w:val="222222"/>
          <w:sz w:val="18"/>
          <w:highlight w:val="white"/>
          <w:u w:val="none"/>
        </w:rPr>
      </w:pPr>
      <w:r w:rsidRPr="00000000" w:rsidR="00000000" w:rsidDel="00000000">
        <w:rPr>
          <w:color w:val="222222"/>
          <w:sz w:val="18"/>
          <w:highlight w:val="white"/>
          <w:rtl w:val="0"/>
        </w:rPr>
        <w:t xml:space="preserve">rozpis konzumácie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color w:val="222222"/>
          <w:sz w:val="18"/>
          <w:highlight w:val="white"/>
          <w:u w:val="none"/>
        </w:rPr>
      </w:pPr>
      <w:r w:rsidRPr="00000000" w:rsidR="00000000" w:rsidDel="00000000">
        <w:rPr>
          <w:color w:val="222222"/>
          <w:sz w:val="18"/>
          <w:highlight w:val="white"/>
          <w:rtl w:val="0"/>
        </w:rPr>
        <w:t xml:space="preserve">doba trvania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highlight w:val="white"/>
          <w:rtl w:val="0"/>
        </w:rPr>
        <w:t xml:space="preserve">b) pri výdavkoch na dary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color w:val="222222"/>
          <w:sz w:val="18"/>
          <w:u w:val="none"/>
        </w:rPr>
      </w:pPr>
      <w:r w:rsidRPr="00000000" w:rsidR="00000000" w:rsidDel="00000000">
        <w:rPr>
          <w:color w:val="222222"/>
          <w:sz w:val="18"/>
          <w:rtl w:val="0"/>
        </w:rPr>
        <w:t xml:space="preserve">označenie darovanej veci a jej hodnotu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color w:val="222222"/>
          <w:sz w:val="18"/>
          <w:u w:val="none"/>
        </w:rPr>
      </w:pPr>
      <w:r w:rsidRPr="00000000" w:rsidR="00000000" w:rsidDel="00000000">
        <w:rPr>
          <w:color w:val="222222"/>
          <w:sz w:val="18"/>
          <w:rtl w:val="0"/>
        </w:rPr>
        <w:t xml:space="preserve">príležitosť pri akej, komu a kedy bol dar poskytnutý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color w:val="222222"/>
          <w:sz w:val="18"/>
          <w:u w:val="none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222222"/>
          <w:sz w:val="18"/>
          <w:rtl w:val="0"/>
        </w:rPr>
        <w:t xml:space="preserve">Článok 4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222222"/>
          <w:sz w:val="18"/>
          <w:rtl w:val="0"/>
        </w:rPr>
        <w:t xml:space="preserve">ZÁVEREČNÉ USTANOVENIA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1) Tieto zásady nadobúdajú účinnosť dňom 24.4.2006.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2) Dňom   nadobudnutia  jej   účinnosti   sa   rušia   zásady   o   hospodárení   s   finančnými prostriedkami obce Jasov zo dňa 04.10.1999.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highlight w:val="white"/>
          <w:rtl w:val="0"/>
        </w:rPr>
        <w:t xml:space="preserve">V Jasove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Ing. Štefan Mesároš, v.r.;   pečiatka obce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starosta obce Jasov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</cp:coreProperties>
</file>